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28"/>
          <w:szCs w:val="28"/>
        </w:rPr>
        <w:t>应急演练评价表（总结）</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559"/>
        <w:gridCol w:w="1985"/>
        <w:gridCol w:w="1275"/>
        <w:gridCol w:w="85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7" w:type="dxa"/>
            <w:gridSpan w:val="4"/>
          </w:tcPr>
          <w:p>
            <w:pPr>
              <w:spacing w:before="240" w:line="276" w:lineRule="auto"/>
              <w:jc w:val="left"/>
              <w:rPr>
                <w:rFonts w:hint="default" w:eastAsiaTheme="minorEastAsia"/>
                <w:b/>
                <w:sz w:val="22"/>
                <w:lang w:val="en-US" w:eastAsia="zh-CN"/>
              </w:rPr>
            </w:pPr>
            <w:r>
              <w:rPr>
                <w:rFonts w:hint="eastAsia"/>
                <w:b/>
                <w:sz w:val="22"/>
              </w:rPr>
              <w:t>演练名称：</w:t>
            </w:r>
            <w:r>
              <w:rPr>
                <w:b/>
                <w:sz w:val="22"/>
              </w:rPr>
              <w:t xml:space="preserve"> </w:t>
            </w:r>
            <w:r>
              <w:rPr>
                <w:rFonts w:hint="eastAsia"/>
                <w:b/>
                <w:sz w:val="22"/>
              </w:rPr>
              <w:t>危货集装箱</w:t>
            </w:r>
            <w:r>
              <w:rPr>
                <w:rFonts w:hint="eastAsia"/>
                <w:b/>
                <w:sz w:val="22"/>
                <w:lang w:eastAsia="zh-CN"/>
              </w:rPr>
              <w:t>泄露</w:t>
            </w:r>
            <w:r>
              <w:rPr>
                <w:rFonts w:hint="eastAsia"/>
                <w:b/>
                <w:sz w:val="22"/>
              </w:rPr>
              <w:t>应急演练</w:t>
            </w:r>
          </w:p>
        </w:tc>
        <w:tc>
          <w:tcPr>
            <w:tcW w:w="2885" w:type="dxa"/>
            <w:gridSpan w:val="3"/>
          </w:tcPr>
          <w:p>
            <w:pPr>
              <w:spacing w:before="240" w:line="276" w:lineRule="auto"/>
              <w:jc w:val="left"/>
              <w:rPr>
                <w:rFonts w:hint="eastAsia" w:eastAsiaTheme="minorEastAsia"/>
                <w:b/>
                <w:sz w:val="22"/>
                <w:lang w:eastAsia="zh-CN"/>
              </w:rPr>
            </w:pPr>
            <w:r>
              <w:rPr>
                <w:rFonts w:hint="eastAsia"/>
                <w:b/>
                <w:sz w:val="22"/>
              </w:rPr>
              <w:t>评价人：</w:t>
            </w:r>
            <w:r>
              <w:rPr>
                <w:rFonts w:hint="eastAsia"/>
                <w:sz w:val="22"/>
                <w:lang w:val="en-US" w:eastAsia="zh-CN"/>
              </w:rPr>
              <w:t>苏锋相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37" w:type="dxa"/>
            <w:gridSpan w:val="4"/>
          </w:tcPr>
          <w:p>
            <w:pPr>
              <w:spacing w:before="240" w:line="276" w:lineRule="auto"/>
              <w:jc w:val="left"/>
              <w:rPr>
                <w:rFonts w:hint="default" w:eastAsiaTheme="minorEastAsia"/>
                <w:b/>
                <w:sz w:val="22"/>
                <w:lang w:val="en-US" w:eastAsia="zh-CN"/>
              </w:rPr>
            </w:pPr>
            <w:r>
              <w:rPr>
                <w:rFonts w:hint="eastAsia"/>
                <w:b/>
                <w:sz w:val="22"/>
              </w:rPr>
              <w:t>演练时间：</w:t>
            </w:r>
            <w:r>
              <w:rPr>
                <w:rFonts w:hint="eastAsia"/>
                <w:sz w:val="22"/>
              </w:rPr>
              <w:t>202</w:t>
            </w:r>
            <w:r>
              <w:rPr>
                <w:rFonts w:hint="eastAsia"/>
                <w:sz w:val="22"/>
                <w:lang w:val="en-US" w:eastAsia="zh-CN"/>
              </w:rPr>
              <w:t>5</w:t>
            </w:r>
            <w:r>
              <w:rPr>
                <w:rFonts w:hint="eastAsia"/>
                <w:sz w:val="22"/>
              </w:rPr>
              <w:t>年</w:t>
            </w:r>
            <w:r>
              <w:rPr>
                <w:rFonts w:hint="eastAsia"/>
                <w:sz w:val="22"/>
                <w:lang w:val="en-US" w:eastAsia="zh-CN"/>
              </w:rPr>
              <w:t>3</w:t>
            </w:r>
            <w:r>
              <w:rPr>
                <w:rFonts w:hint="eastAsia"/>
                <w:sz w:val="22"/>
              </w:rPr>
              <w:t>月</w:t>
            </w:r>
            <w:r>
              <w:rPr>
                <w:rFonts w:hint="eastAsia"/>
                <w:sz w:val="22"/>
                <w:lang w:val="en-US" w:eastAsia="zh-CN"/>
              </w:rPr>
              <w:t>26</w:t>
            </w:r>
            <w:r>
              <w:rPr>
                <w:rFonts w:hint="eastAsia"/>
                <w:sz w:val="22"/>
              </w:rPr>
              <w:t xml:space="preserve">日 </w:t>
            </w:r>
            <w:r>
              <w:rPr>
                <w:rFonts w:hint="eastAsia"/>
                <w:sz w:val="22"/>
                <w:lang w:val="en-US" w:eastAsia="zh-CN"/>
              </w:rPr>
              <w:t>14：30-16：00</w:t>
            </w:r>
          </w:p>
        </w:tc>
        <w:tc>
          <w:tcPr>
            <w:tcW w:w="2885" w:type="dxa"/>
            <w:gridSpan w:val="3"/>
          </w:tcPr>
          <w:p>
            <w:pPr>
              <w:spacing w:before="240" w:line="276" w:lineRule="auto"/>
              <w:jc w:val="left"/>
              <w:rPr>
                <w:rFonts w:hint="eastAsia" w:eastAsiaTheme="minorEastAsia"/>
                <w:b/>
                <w:sz w:val="22"/>
                <w:lang w:eastAsia="zh-CN"/>
              </w:rPr>
            </w:pPr>
            <w:r>
              <w:rPr>
                <w:b/>
                <w:sz w:val="22"/>
              </w:rPr>
              <w:t>审核人</w:t>
            </w:r>
            <w:r>
              <w:rPr>
                <w:rFonts w:hint="eastAsia"/>
                <w:b/>
                <w:sz w:val="22"/>
              </w:rPr>
              <w:t>：</w:t>
            </w:r>
            <w:r>
              <w:rPr>
                <w:rFonts w:hint="eastAsia"/>
                <w:sz w:val="22"/>
                <w:lang w:val="en-US" w:eastAsia="zh-CN"/>
              </w:rPr>
              <w:t>曹火火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序号</w:t>
            </w:r>
          </w:p>
        </w:tc>
        <w:tc>
          <w:tcPr>
            <w:tcW w:w="1418"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评价项目</w:t>
            </w:r>
          </w:p>
        </w:tc>
        <w:tc>
          <w:tcPr>
            <w:tcW w:w="15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打分点</w:t>
            </w:r>
          </w:p>
        </w:tc>
        <w:tc>
          <w:tcPr>
            <w:tcW w:w="3260" w:type="dxa"/>
            <w:gridSpan w:val="2"/>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评分标准</w:t>
            </w:r>
          </w:p>
        </w:tc>
        <w:tc>
          <w:tcPr>
            <w:tcW w:w="851"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总分值</w:t>
            </w:r>
          </w:p>
        </w:tc>
        <w:tc>
          <w:tcPr>
            <w:tcW w:w="7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418"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基础分</w:t>
            </w:r>
          </w:p>
        </w:tc>
        <w:tc>
          <w:tcPr>
            <w:tcW w:w="15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演练方案</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演练方案不完善（无预案演练此项不扣分）、演练没有针对性、演练组织混乱每项扣1分；参与演练人员职责不清楚每人扣1分</w:t>
            </w:r>
          </w:p>
        </w:tc>
        <w:tc>
          <w:tcPr>
            <w:tcW w:w="851"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p>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p>
        </w:tc>
        <w:tc>
          <w:tcPr>
            <w:tcW w:w="1418"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基础分</w:t>
            </w:r>
          </w:p>
        </w:tc>
        <w:tc>
          <w:tcPr>
            <w:tcW w:w="15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参演人员态度</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参演人员态度不端正，每人扣1分</w:t>
            </w:r>
          </w:p>
        </w:tc>
        <w:tc>
          <w:tcPr>
            <w:tcW w:w="851"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3</w:t>
            </w:r>
          </w:p>
        </w:tc>
        <w:tc>
          <w:tcPr>
            <w:tcW w:w="1418"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基础分</w:t>
            </w:r>
          </w:p>
        </w:tc>
        <w:tc>
          <w:tcPr>
            <w:tcW w:w="15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应急救援器材使用</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应急救援人员不会使用应急救援器材，每人扣1分</w:t>
            </w:r>
          </w:p>
        </w:tc>
        <w:tc>
          <w:tcPr>
            <w:tcW w:w="851"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4</w:t>
            </w:r>
          </w:p>
        </w:tc>
        <w:tc>
          <w:tcPr>
            <w:tcW w:w="1418"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基础分</w:t>
            </w:r>
          </w:p>
        </w:tc>
        <w:tc>
          <w:tcPr>
            <w:tcW w:w="15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应急救援器材状态</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相关应急救援器材实效或其他原因无法使用，每项扣1分</w:t>
            </w:r>
          </w:p>
        </w:tc>
        <w:tc>
          <w:tcPr>
            <w:tcW w:w="851"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hint="default"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1418" w:type="dxa"/>
          </w:tcPr>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p>
          <w:p>
            <w:pPr>
              <w:spacing w:line="36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接警与报警</w:t>
            </w:r>
          </w:p>
        </w:tc>
        <w:tc>
          <w:tcPr>
            <w:tcW w:w="15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事故/事件信息上报</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不知道报警程序、高频（电话号码）、报警信息关键信息遗漏（时间、地点、事故/件内容、人员受伤情况、其他重要信息），每一项扣1分</w:t>
            </w:r>
          </w:p>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通讯工具失灵或不会使用，每项扣1分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6</w:t>
            </w:r>
          </w:p>
        </w:tc>
        <w:tc>
          <w:tcPr>
            <w:tcW w:w="1418" w:type="dxa"/>
          </w:tcPr>
          <w:p>
            <w:pPr>
              <w:spacing w:line="72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现场警戒</w:t>
            </w:r>
          </w:p>
        </w:tc>
        <w:tc>
          <w:tcPr>
            <w:tcW w:w="1559" w:type="dxa"/>
          </w:tcPr>
          <w:p>
            <w:pP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事故（件）区域的警戒</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在通往事故（件）区域的主要道路口未设置警戒隔离标志的、警戒人员缺失或站位不当的（考虑风向）、或无关人员进入警戒区未及时阻止的，每项或每人次扣1分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7</w:t>
            </w:r>
          </w:p>
        </w:tc>
        <w:tc>
          <w:tcPr>
            <w:tcW w:w="1418" w:type="dxa"/>
          </w:tcPr>
          <w:p>
            <w:pPr>
              <w:spacing w:line="72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人员疏散</w:t>
            </w:r>
          </w:p>
        </w:tc>
        <w:tc>
          <w:tcPr>
            <w:tcW w:w="15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人员撤离安全</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事故（件）现场无关人员未被及时疏散的、撤离路线不正确的、演练完成未清单人员或人员缺少的、人员疏散时间过长，每项或每人次扣1分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8</w:t>
            </w:r>
          </w:p>
        </w:tc>
        <w:tc>
          <w:tcPr>
            <w:tcW w:w="1418" w:type="dxa"/>
          </w:tcPr>
          <w:p>
            <w:pPr>
              <w:spacing w:line="720" w:lineRule="auto"/>
              <w:rPr>
                <w:rFonts w:asciiTheme="majorEastAsia" w:hAnsiTheme="majorEastAsia" w:eastAsiaTheme="majorEastAsia"/>
                <w:sz w:val="18"/>
                <w:szCs w:val="18"/>
              </w:rPr>
            </w:pPr>
          </w:p>
          <w:p>
            <w:pPr>
              <w:spacing w:line="72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应急处置</w:t>
            </w:r>
          </w:p>
        </w:tc>
        <w:tc>
          <w:tcPr>
            <w:tcW w:w="15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现场应急救援</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应急救援小组成员未正确佩戴应急救援设备的、未对受伤人员及时进行救护、处置流程不熟练、应急救援器材使用错误、找不到应急救援器材、应急救援小队配合不熟练每项扣2分；</w:t>
            </w:r>
          </w:p>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应急救援方法错误（比如危险品事故以及火灾爆炸未能在上风向进行处置的、或使用不正确的灭火器进行灭火的），每项扣10分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asciiTheme="majorEastAsia" w:hAnsiTheme="majorEastAsia" w:eastAsiaTheme="majorEastAsia"/>
                <w:sz w:val="18"/>
                <w:szCs w:val="18"/>
              </w:rPr>
              <w:t>30</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9</w:t>
            </w:r>
          </w:p>
        </w:tc>
        <w:tc>
          <w:tcPr>
            <w:tcW w:w="1418" w:type="dxa"/>
          </w:tcPr>
          <w:p>
            <w:pPr>
              <w:spacing w:line="72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应急处置</w:t>
            </w:r>
          </w:p>
        </w:tc>
        <w:tc>
          <w:tcPr>
            <w:tcW w:w="15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现场应急救援</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应急救援小组到达事发现场时间、其余各专项下小组到达事发现场时间、应急救援指挥部成员到达应急指挥部时间，根据实际情况扣分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759" w:type="dxa"/>
          </w:tcPr>
          <w:p>
            <w:pPr>
              <w:jc w:val="center"/>
              <w:rPr>
                <w:rFonts w:asciiTheme="majorEastAsia" w:hAnsiTheme="majorEastAsia" w:eastAsiaTheme="majorEastAsia"/>
                <w:sz w:val="18"/>
                <w:szCs w:val="18"/>
              </w:rPr>
            </w:pPr>
          </w:p>
          <w:p>
            <w:pPr>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10</w:t>
            </w:r>
          </w:p>
        </w:tc>
        <w:tc>
          <w:tcPr>
            <w:tcW w:w="1418" w:type="dxa"/>
          </w:tcPr>
          <w:p>
            <w:pPr>
              <w:spacing w:line="720" w:lineRule="auto"/>
              <w:jc w:val="center"/>
              <w:rPr>
                <w:rFonts w:asciiTheme="majorEastAsia" w:hAnsiTheme="majorEastAsia" w:eastAsiaTheme="majorEastAsia"/>
                <w:sz w:val="18"/>
                <w:szCs w:val="18"/>
              </w:rPr>
            </w:pPr>
            <w:r>
              <w:rPr>
                <w:rFonts w:hint="eastAsia"/>
              </w:rPr>
              <w:t>应急预案</w:t>
            </w:r>
          </w:p>
        </w:tc>
        <w:tc>
          <w:tcPr>
            <w:tcW w:w="1559" w:type="dxa"/>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与应急处置预案符合性</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应急处置程序与预案不符合、事故上报程序与预案不符合、预案各专项小组分工不符合实际处置情形、每项扣5分、；预案不具备可操作性，本项不得分</w:t>
            </w:r>
          </w:p>
        </w:tc>
        <w:tc>
          <w:tcPr>
            <w:tcW w:w="851" w:type="dxa"/>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72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11</w:t>
            </w:r>
          </w:p>
        </w:tc>
        <w:tc>
          <w:tcPr>
            <w:tcW w:w="1418" w:type="dxa"/>
          </w:tcPr>
          <w:p>
            <w:pPr>
              <w:spacing w:line="720" w:lineRule="auto"/>
              <w:jc w:val="center"/>
            </w:pPr>
            <w:r>
              <w:rPr>
                <w:rFonts w:hint="eastAsia"/>
              </w:rPr>
              <w:t>演练总结</w:t>
            </w:r>
          </w:p>
        </w:tc>
        <w:tc>
          <w:tcPr>
            <w:tcW w:w="1559" w:type="dxa"/>
          </w:tcPr>
          <w:p>
            <w:pPr>
              <w:rPr>
                <w:rFonts w:asciiTheme="majorEastAsia" w:hAnsiTheme="majorEastAsia" w:eastAsiaTheme="majorEastAsia"/>
                <w:sz w:val="18"/>
                <w:szCs w:val="18"/>
              </w:rPr>
            </w:pPr>
          </w:p>
          <w:p>
            <w:pPr>
              <w:rPr>
                <w:rFonts w:asciiTheme="majorEastAsia" w:hAnsiTheme="majorEastAsia" w:eastAsiaTheme="majorEastAsia"/>
                <w:sz w:val="18"/>
                <w:szCs w:val="18"/>
              </w:rPr>
            </w:pPr>
            <w:r>
              <w:rPr>
                <w:rFonts w:hint="eastAsia" w:asciiTheme="majorEastAsia" w:hAnsiTheme="majorEastAsia" w:eastAsiaTheme="majorEastAsia"/>
                <w:sz w:val="18"/>
                <w:szCs w:val="18"/>
              </w:rPr>
              <w:t>演练效果总结</w:t>
            </w:r>
          </w:p>
        </w:tc>
        <w:tc>
          <w:tcPr>
            <w:tcW w:w="3260" w:type="dxa"/>
            <w:gridSpan w:val="2"/>
          </w:tcPr>
          <w:p>
            <w:pPr>
              <w:jc w:val="left"/>
              <w:rPr>
                <w:rFonts w:asciiTheme="majorEastAsia" w:hAnsiTheme="majorEastAsia" w:eastAsiaTheme="majorEastAsia"/>
                <w:sz w:val="18"/>
                <w:szCs w:val="18"/>
              </w:rPr>
            </w:pPr>
            <w:r>
              <w:rPr>
                <w:rFonts w:hint="eastAsia" w:asciiTheme="majorEastAsia" w:hAnsiTheme="majorEastAsia" w:eastAsiaTheme="majorEastAsia"/>
                <w:sz w:val="18"/>
                <w:szCs w:val="18"/>
              </w:rPr>
              <w:t>对演练中发现的问题进行总结，并对改进措施提出针对性意见，视情况扣分</w:t>
            </w:r>
          </w:p>
        </w:tc>
        <w:tc>
          <w:tcPr>
            <w:tcW w:w="851"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759" w:type="dxa"/>
          </w:tcPr>
          <w:p>
            <w:pPr>
              <w:jc w:val="center"/>
              <w:rPr>
                <w:rFonts w:asciiTheme="majorEastAsia" w:hAnsiTheme="majorEastAsia" w:eastAsiaTheme="majorEastAsia"/>
                <w:sz w:val="18"/>
                <w:szCs w:val="18"/>
              </w:rPr>
            </w:pP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5"/>
          </w:tcPr>
          <w:p>
            <w:pPr>
              <w:spacing w:before="240"/>
              <w:jc w:val="right"/>
              <w:rPr>
                <w:rFonts w:asciiTheme="majorEastAsia" w:hAnsiTheme="majorEastAsia" w:eastAsiaTheme="majorEastAsia"/>
                <w:sz w:val="18"/>
                <w:szCs w:val="18"/>
              </w:rPr>
            </w:pPr>
            <w:r>
              <w:rPr>
                <w:rFonts w:hint="eastAsia" w:asciiTheme="majorEastAsia" w:hAnsiTheme="majorEastAsia" w:eastAsiaTheme="majorEastAsia"/>
                <w:sz w:val="18"/>
                <w:szCs w:val="18"/>
              </w:rPr>
              <w:t>总得分=评价分（100）-扣分</w:t>
            </w:r>
          </w:p>
        </w:tc>
        <w:tc>
          <w:tcPr>
            <w:tcW w:w="1610" w:type="dxa"/>
            <w:gridSpan w:val="2"/>
          </w:tcPr>
          <w:p>
            <w:pPr>
              <w:spacing w:before="240"/>
              <w:jc w:val="left"/>
              <w:rPr>
                <w:rFonts w:hint="default" w:asciiTheme="majorEastAsia" w:hAnsiTheme="majorEastAsia" w:eastAsiaTheme="majorEastAsia"/>
                <w:sz w:val="18"/>
                <w:szCs w:val="18"/>
                <w:lang w:val="en-US" w:eastAsia="zh-CN"/>
              </w:rPr>
            </w:pPr>
            <w:r>
              <w:rPr>
                <w:rFonts w:hint="eastAsia" w:asciiTheme="majorEastAsia" w:hAnsiTheme="majorEastAsia" w:eastAsiaTheme="majorEastAsia"/>
                <w:sz w:val="18"/>
                <w:szCs w:val="18"/>
              </w:rPr>
              <w:t xml:space="preserve">总得分： </w:t>
            </w:r>
            <w:r>
              <w:rPr>
                <w:rFonts w:hint="eastAsia" w:asciiTheme="majorEastAsia" w:hAnsiTheme="majorEastAsia" w:eastAsiaTheme="majorEastAsia"/>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napToGrid/>
              <w:spacing w:before="0" w:beforeAutospacing="0" w:after="0" w:afterAutospacing="0" w:line="408" w:lineRule="auto"/>
              <w:ind w:firstLine="422" w:firstLineChars="200"/>
              <w:jc w:val="both"/>
              <w:textAlignment w:val="baseline"/>
              <w:rPr>
                <w:rFonts w:hint="eastAsia"/>
                <w:b w:val="0"/>
                <w:i w:val="0"/>
                <w:caps w:val="0"/>
                <w:spacing w:val="0"/>
                <w:w w:val="100"/>
                <w:sz w:val="22"/>
                <w:szCs w:val="21"/>
              </w:rPr>
            </w:pPr>
            <w:r>
              <w:rPr>
                <w:rFonts w:hint="eastAsia" w:asciiTheme="majorEastAsia" w:hAnsiTheme="majorEastAsia" w:eastAsiaTheme="majorEastAsia"/>
                <w:b/>
                <w:szCs w:val="18"/>
              </w:rPr>
              <w:t>演练总结</w:t>
            </w:r>
            <w:r>
              <w:rPr>
                <w:rFonts w:hint="eastAsia" w:asciiTheme="majorEastAsia" w:hAnsiTheme="majorEastAsia" w:eastAsiaTheme="majorEastAsia"/>
                <w:b/>
                <w:szCs w:val="18"/>
                <w:lang w:eastAsia="zh-CN"/>
              </w:rPr>
              <w:t>：</w:t>
            </w:r>
            <w:r>
              <w:rPr>
                <w:rFonts w:hint="eastAsia" w:ascii="宋体" w:hAnsi="宋体"/>
                <w:b w:val="0"/>
                <w:i w:val="0"/>
                <w:caps w:val="0"/>
                <w:spacing w:val="0"/>
                <w:w w:val="100"/>
                <w:sz w:val="22"/>
                <w:szCs w:val="21"/>
              </w:rPr>
              <w:t>本次演练的目的是提高公司员工应对突发性危货集装箱</w:t>
            </w:r>
            <w:r>
              <w:rPr>
                <w:rFonts w:hint="eastAsia" w:ascii="宋体" w:hAnsi="宋体"/>
                <w:b w:val="0"/>
                <w:i w:val="0"/>
                <w:caps w:val="0"/>
                <w:spacing w:val="0"/>
                <w:w w:val="100"/>
                <w:sz w:val="22"/>
                <w:szCs w:val="21"/>
                <w:lang w:eastAsia="zh-CN"/>
              </w:rPr>
              <w:t>泄露</w:t>
            </w:r>
            <w:r>
              <w:rPr>
                <w:rFonts w:hint="eastAsia" w:ascii="宋体" w:hAnsi="宋体"/>
                <w:b w:val="0"/>
                <w:i w:val="0"/>
                <w:caps w:val="0"/>
                <w:spacing w:val="0"/>
                <w:w w:val="100"/>
                <w:sz w:val="22"/>
                <w:szCs w:val="21"/>
              </w:rPr>
              <w:t>事件的处置能力，检验应对突发性</w:t>
            </w:r>
            <w:r>
              <w:rPr>
                <w:rFonts w:hint="eastAsia" w:ascii="宋体" w:hAnsi="宋体"/>
                <w:b w:val="0"/>
                <w:i w:val="0"/>
                <w:caps w:val="0"/>
                <w:spacing w:val="0"/>
                <w:w w:val="100"/>
                <w:sz w:val="22"/>
                <w:szCs w:val="21"/>
                <w:lang w:eastAsia="zh-CN"/>
              </w:rPr>
              <w:t>事件</w:t>
            </w:r>
            <w:r>
              <w:rPr>
                <w:rFonts w:hint="eastAsia" w:ascii="宋体" w:hAnsi="宋体"/>
                <w:b w:val="0"/>
                <w:i w:val="0"/>
                <w:caps w:val="0"/>
                <w:spacing w:val="0"/>
                <w:w w:val="100"/>
                <w:sz w:val="22"/>
                <w:szCs w:val="21"/>
                <w:lang w:val="en-US" w:eastAsia="zh-CN"/>
              </w:rPr>
              <w:t>现场</w:t>
            </w:r>
            <w:r>
              <w:rPr>
                <w:rFonts w:hint="eastAsia" w:ascii="宋体" w:hAnsi="宋体"/>
                <w:b w:val="0"/>
                <w:i w:val="0"/>
                <w:caps w:val="0"/>
                <w:spacing w:val="0"/>
                <w:w w:val="100"/>
                <w:sz w:val="22"/>
                <w:szCs w:val="21"/>
              </w:rPr>
              <w:t>的组织指挥、报告程序，相关人员的执行能力和迅速有效组织人员疏散撤离、现场警戒保护以及善后处理。</w:t>
            </w:r>
            <w:r>
              <w:rPr>
                <w:rFonts w:hint="eastAsia"/>
                <w:b w:val="0"/>
                <w:i w:val="0"/>
                <w:caps w:val="0"/>
                <w:spacing w:val="0"/>
                <w:w w:val="100"/>
                <w:sz w:val="22"/>
                <w:szCs w:val="21"/>
              </w:rPr>
              <w:t>通过训练，提高了</w:t>
            </w:r>
            <w:r>
              <w:rPr>
                <w:rFonts w:hint="eastAsia"/>
                <w:b w:val="0"/>
                <w:i w:val="0"/>
                <w:caps w:val="0"/>
                <w:spacing w:val="0"/>
                <w:w w:val="100"/>
                <w:sz w:val="22"/>
                <w:szCs w:val="21"/>
                <w:lang w:val="en-US" w:eastAsia="zh-CN"/>
              </w:rPr>
              <w:t>应急处置小组</w:t>
            </w:r>
            <w:r>
              <w:rPr>
                <w:rFonts w:hint="eastAsia"/>
                <w:b w:val="0"/>
                <w:i w:val="0"/>
                <w:caps w:val="0"/>
                <w:spacing w:val="0"/>
                <w:w w:val="100"/>
                <w:sz w:val="22"/>
                <w:szCs w:val="21"/>
              </w:rPr>
              <w:t>的指挥协调能力，保障了应急救援机制运转有序。</w:t>
            </w:r>
          </w:p>
          <w:p>
            <w:pPr>
              <w:spacing w:line="276" w:lineRule="auto"/>
              <w:ind w:firstLine="480" w:firstLineChars="200"/>
              <w:rPr>
                <w:rFonts w:ascii="宋体" w:hAnsi="宋体"/>
                <w:sz w:val="24"/>
              </w:rPr>
            </w:pPr>
          </w:p>
          <w:p>
            <w:pPr>
              <w:ind w:left="1054" w:hanging="1050" w:hangingChars="500"/>
              <w:rPr>
                <w:rFonts w:hint="eastAsia" w:asciiTheme="majorEastAsia" w:hAnsiTheme="majorEastAsia" w:eastAsiaTheme="majorEastAsia"/>
                <w:szCs w:val="18"/>
              </w:rPr>
            </w:pPr>
          </w:p>
          <w:p>
            <w:pPr>
              <w:spacing w:line="360" w:lineRule="auto"/>
              <w:rPr>
                <w:rFonts w:hint="eastAsia" w:ascii="宋体" w:hAnsi="宋体"/>
                <w:b w:val="0"/>
                <w:i w:val="0"/>
                <w:caps w:val="0"/>
                <w:spacing w:val="0"/>
                <w:w w:val="100"/>
                <w:sz w:val="22"/>
                <w:szCs w:val="21"/>
              </w:rPr>
            </w:pPr>
            <w:r>
              <w:rPr>
                <w:rFonts w:hint="eastAsia" w:asciiTheme="majorEastAsia" w:hAnsiTheme="majorEastAsia" w:eastAsiaTheme="majorEastAsia"/>
                <w:b/>
                <w:szCs w:val="18"/>
              </w:rPr>
              <w:t>存在问题：</w:t>
            </w:r>
            <w:r>
              <w:rPr>
                <w:rFonts w:hint="eastAsia" w:ascii="宋体" w:hAnsi="宋体" w:eastAsiaTheme="majorEastAsia"/>
                <w:b w:val="0"/>
                <w:bCs/>
                <w:i w:val="0"/>
                <w:caps w:val="0"/>
                <w:spacing w:val="0"/>
                <w:w w:val="100"/>
                <w:sz w:val="22"/>
                <w:szCs w:val="21"/>
                <w:lang w:val="en-US" w:eastAsia="zh-CN"/>
              </w:rPr>
              <w:t>1、工班站位不规范，未能在上风口方向撤离疏散</w:t>
            </w:r>
            <w:r>
              <w:rPr>
                <w:rFonts w:hint="eastAsia" w:ascii="宋体" w:hAnsi="宋体" w:eastAsiaTheme="majorEastAsia"/>
                <w:b w:val="0"/>
                <w:bCs/>
                <w:i w:val="0"/>
                <w:caps w:val="0"/>
                <w:spacing w:val="0"/>
                <w:w w:val="100"/>
                <w:sz w:val="22"/>
                <w:szCs w:val="21"/>
                <w:lang w:eastAsia="zh-CN"/>
              </w:rPr>
              <w:t>。</w:t>
            </w:r>
          </w:p>
          <w:p>
            <w:pPr>
              <w:spacing w:before="240"/>
              <w:rPr>
                <w:rFonts w:asciiTheme="majorEastAsia" w:hAnsiTheme="majorEastAsia" w:eastAsiaTheme="majorEastAsia"/>
                <w:szCs w:val="18"/>
              </w:rPr>
            </w:pPr>
          </w:p>
          <w:p>
            <w:pPr>
              <w:spacing w:before="240"/>
              <w:rPr>
                <w:rFonts w:asciiTheme="majorEastAsia" w:hAnsiTheme="majorEastAsia" w:eastAsiaTheme="majorEastAsia"/>
                <w:szCs w:val="18"/>
              </w:rPr>
            </w:pPr>
            <w:r>
              <w:rPr>
                <w:rFonts w:hint="eastAsia" w:asciiTheme="majorEastAsia" w:hAnsiTheme="majorEastAsia" w:eastAsiaTheme="majorEastAsia"/>
                <w:szCs w:val="18"/>
              </w:rPr>
              <w:t xml:space="preserve">       </w:t>
            </w:r>
          </w:p>
          <w:p>
            <w:pPr>
              <w:spacing w:before="240"/>
              <w:jc w:val="left"/>
              <w:rPr>
                <w:rFonts w:hint="eastAsia" w:asciiTheme="majorEastAsia" w:hAnsiTheme="majorEastAsia" w:eastAsiaTheme="minorEastAsia"/>
                <w:sz w:val="18"/>
                <w:szCs w:val="18"/>
                <w:lang w:eastAsia="zh-CN"/>
              </w:rPr>
            </w:pPr>
            <w:r>
              <w:rPr>
                <w:rFonts w:hint="eastAsia" w:asciiTheme="majorEastAsia" w:hAnsiTheme="majorEastAsia" w:eastAsiaTheme="majorEastAsia"/>
                <w:b/>
                <w:szCs w:val="18"/>
              </w:rPr>
              <w:t>改进措施建议：</w:t>
            </w:r>
            <w:r>
              <w:rPr>
                <w:rFonts w:hint="eastAsia" w:ascii="宋体" w:hAnsi="宋体"/>
                <w:b w:val="0"/>
                <w:i w:val="0"/>
                <w:caps w:val="0"/>
                <w:spacing w:val="0"/>
                <w:w w:val="100"/>
                <w:sz w:val="22"/>
                <w:szCs w:val="21"/>
                <w:lang w:val="en-US" w:eastAsia="zh-CN"/>
              </w:rPr>
              <w:t>现场批评教育，省事图快心理，端正演练态度，杜绝侥幸心理</w:t>
            </w:r>
            <w:r>
              <w:rPr>
                <w:rFonts w:hint="eastAsia" w:ascii="宋体" w:hAnsi="宋体"/>
                <w:b w:val="0"/>
                <w:i w:val="0"/>
                <w:caps w:val="0"/>
                <w:spacing w:val="0"/>
                <w:w w:val="100"/>
                <w:sz w:val="22"/>
                <w:szCs w:val="21"/>
                <w:lang w:eastAsia="zh-CN"/>
              </w:rPr>
              <w:t>。</w:t>
            </w:r>
          </w:p>
          <w:p>
            <w:pPr>
              <w:spacing w:before="240"/>
              <w:jc w:val="left"/>
              <w:rPr>
                <w:rFonts w:asciiTheme="majorEastAsia" w:hAnsiTheme="majorEastAsia" w:eastAsiaTheme="majorEastAsia"/>
                <w:sz w:val="18"/>
                <w:szCs w:val="18"/>
              </w:rPr>
            </w:pPr>
          </w:p>
        </w:tc>
      </w:tr>
    </w:tbl>
    <w:p>
      <w:pPr>
        <w:rPr>
          <w:rFonts w:ascii="仿宋" w:hAnsi="仿宋" w:eastAsia="仿宋"/>
        </w:rPr>
      </w:pPr>
    </w:p>
    <w:p>
      <w:pPr>
        <w:spacing w:line="360" w:lineRule="auto"/>
        <w:rPr>
          <w:rFonts w:asciiTheme="majorEastAsia" w:hAnsiTheme="majorEastAsia" w:eastAsiaTheme="majorEastAsia"/>
        </w:rPr>
      </w:pPr>
      <w:r>
        <w:rPr>
          <w:rFonts w:hint="eastAsia" w:asciiTheme="majorEastAsia" w:hAnsiTheme="majorEastAsia" w:eastAsiaTheme="majorEastAsia"/>
        </w:rPr>
        <w:t>注：1、演练得分小于80分直接判定演练失败；</w:t>
      </w:r>
    </w:p>
    <w:p>
      <w:pPr>
        <w:spacing w:line="360" w:lineRule="auto"/>
        <w:ind w:firstLine="420"/>
        <w:rPr>
          <w:rFonts w:asciiTheme="majorEastAsia" w:hAnsiTheme="majorEastAsia" w:eastAsiaTheme="majorEastAsia"/>
        </w:rPr>
      </w:pPr>
      <w:r>
        <w:rPr>
          <w:rFonts w:hint="eastAsia" w:asciiTheme="majorEastAsia" w:hAnsiTheme="majorEastAsia" w:eastAsiaTheme="majorEastAsia"/>
        </w:rPr>
        <w:t>2、 因为应急救援处置方法错误可能导致二次事故或造成人身伤害的直接判定演练失败；</w:t>
      </w:r>
    </w:p>
    <w:p>
      <w:pPr>
        <w:spacing w:line="360" w:lineRule="auto"/>
        <w:ind w:firstLine="420"/>
        <w:rPr>
          <w:rFonts w:asciiTheme="majorEastAsia" w:hAnsiTheme="majorEastAsia" w:eastAsiaTheme="majorEastAsia"/>
        </w:rPr>
      </w:pPr>
      <w:r>
        <w:rPr>
          <w:rFonts w:hint="eastAsia" w:asciiTheme="majorEastAsia" w:hAnsiTheme="majorEastAsia" w:eastAsiaTheme="majorEastAsia"/>
        </w:rPr>
        <w:t>3、失败演练需要重新相关人员培训、学习；组织再次演练，及时改进。</w:t>
      </w:r>
    </w:p>
    <w:p>
      <w:pPr>
        <w:ind w:firstLine="420"/>
        <w:rPr>
          <w:rFonts w:asciiTheme="majorEastAsia" w:hAnsiTheme="majorEastAsia" w:eastAsiaTheme="majorEastAsia"/>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lang w:eastAsia="zh-CN"/>
        </w:rPr>
      </w:pPr>
      <w:r>
        <w:rPr>
          <w:rFonts w:hint="eastAsia" w:ascii="仿宋" w:hAnsi="仿宋" w:eastAsia="仿宋"/>
          <w:sz w:val="24"/>
          <w:lang w:eastAsia="zh-CN"/>
        </w:rPr>
        <w:drawing>
          <wp:inline distT="0" distB="0" distL="114300" distR="114300">
            <wp:extent cx="3623310" cy="5164455"/>
            <wp:effectExtent l="0" t="0" r="17145" b="15240"/>
            <wp:docPr id="1" name="图片 1" descr="现场照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现场照片 (2)"/>
                    <pic:cNvPicPr>
                      <a:picLocks noChangeAspect="1"/>
                    </pic:cNvPicPr>
                  </pic:nvPicPr>
                  <pic:blipFill>
                    <a:blip r:embed="rId4"/>
                    <a:stretch>
                      <a:fillRect/>
                    </a:stretch>
                  </pic:blipFill>
                  <pic:spPr>
                    <a:xfrm rot="5400000">
                      <a:off x="0" y="0"/>
                      <a:ext cx="3623310" cy="5164455"/>
                    </a:xfrm>
                    <a:prstGeom prst="rect">
                      <a:avLst/>
                    </a:prstGeom>
                  </pic:spPr>
                </pic:pic>
              </a:graphicData>
            </a:graphic>
          </wp:inline>
        </w:drawing>
      </w:r>
    </w:p>
    <w:p>
      <w:pPr>
        <w:jc w:val="left"/>
        <w:rPr>
          <w:rFonts w:hint="eastAsia" w:ascii="仿宋" w:hAnsi="仿宋" w:eastAsia="仿宋"/>
          <w:sz w:val="24"/>
          <w:lang w:eastAsia="zh-CN"/>
        </w:rPr>
      </w:pPr>
      <w:r>
        <w:rPr>
          <w:rFonts w:hint="eastAsia" w:ascii="仿宋" w:hAnsi="仿宋" w:eastAsia="仿宋"/>
          <w:sz w:val="24"/>
          <w:lang w:eastAsia="zh-CN"/>
        </w:rPr>
        <w:drawing>
          <wp:inline distT="0" distB="0" distL="114300" distR="114300">
            <wp:extent cx="5261610" cy="3945890"/>
            <wp:effectExtent l="0" t="0" r="15240" b="16510"/>
            <wp:docPr id="2" name="图片 2" descr="现场照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场照片 (3)"/>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lang w:eastAsia="zh-CN"/>
        </w:rPr>
      </w:pPr>
      <w:bookmarkStart w:id="0" w:name="_GoBack"/>
      <w:r>
        <w:rPr>
          <w:rFonts w:hint="eastAsia" w:ascii="仿宋" w:hAnsi="仿宋" w:eastAsia="仿宋"/>
          <w:sz w:val="24"/>
          <w:lang w:eastAsia="zh-CN"/>
        </w:rPr>
        <w:drawing>
          <wp:inline distT="0" distB="0" distL="114300" distR="114300">
            <wp:extent cx="3413760" cy="5098415"/>
            <wp:effectExtent l="0" t="0" r="6985" b="15240"/>
            <wp:docPr id="3" name="图片 3" descr="现场照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场照片 (1)"/>
                    <pic:cNvPicPr>
                      <a:picLocks noChangeAspect="1"/>
                    </pic:cNvPicPr>
                  </pic:nvPicPr>
                  <pic:blipFill>
                    <a:blip r:embed="rId6"/>
                    <a:stretch>
                      <a:fillRect/>
                    </a:stretch>
                  </pic:blipFill>
                  <pic:spPr>
                    <a:xfrm rot="5400000">
                      <a:off x="0" y="0"/>
                      <a:ext cx="3413760" cy="5098415"/>
                    </a:xfrm>
                    <a:prstGeom prst="rect">
                      <a:avLst/>
                    </a:prstGeom>
                  </pic:spPr>
                </pic:pic>
              </a:graphicData>
            </a:graphic>
          </wp:inline>
        </w:drawing>
      </w:r>
      <w:bookmarkEnd w:id="0"/>
    </w:p>
    <w:p>
      <w:pPr>
        <w:jc w:val="left"/>
        <w:rPr>
          <w:rFonts w:ascii="仿宋" w:hAnsi="仿宋" w:eastAsia="仿宋"/>
          <w:sz w:val="24"/>
        </w:rPr>
      </w:pPr>
    </w:p>
    <w:p>
      <w:pPr>
        <w:jc w:val="left"/>
        <w:rPr>
          <w:rFonts w:ascii="仿宋" w:hAnsi="仿宋" w:eastAsia="仿宋"/>
          <w:sz w:val="24"/>
        </w:rPr>
      </w:pPr>
    </w:p>
    <w:p>
      <w:pPr>
        <w:jc w:val="left"/>
        <w:rPr>
          <w:rFonts w:hint="eastAsia" w:ascii="仿宋" w:hAnsi="仿宋" w:eastAsia="仿宋"/>
          <w:sz w:val="24"/>
          <w:lang w:eastAsia="zh-CN"/>
        </w:rPr>
      </w:pPr>
    </w:p>
    <w:p>
      <w:pPr>
        <w:jc w:val="left"/>
        <w:rPr>
          <w:rFonts w:hint="eastAsia" w:ascii="仿宋" w:hAnsi="仿宋" w:eastAsia="仿宋"/>
          <w:sz w:val="24"/>
          <w:lang w:eastAsia="zh-CN"/>
        </w:rPr>
      </w:pPr>
    </w:p>
    <w:p>
      <w:pPr>
        <w:jc w:val="left"/>
        <w:rPr>
          <w:rFonts w:hint="eastAsia" w:ascii="仿宋" w:hAnsi="仿宋" w:eastAsia="仿宋"/>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CE"/>
    <w:rsid w:val="00197142"/>
    <w:rsid w:val="00361FC2"/>
    <w:rsid w:val="00390D71"/>
    <w:rsid w:val="003B2AD1"/>
    <w:rsid w:val="003E4FCE"/>
    <w:rsid w:val="005C35EF"/>
    <w:rsid w:val="006607F1"/>
    <w:rsid w:val="006A4CAA"/>
    <w:rsid w:val="00740BD5"/>
    <w:rsid w:val="00752265"/>
    <w:rsid w:val="007E3919"/>
    <w:rsid w:val="008037F9"/>
    <w:rsid w:val="008208E3"/>
    <w:rsid w:val="008F5494"/>
    <w:rsid w:val="009517CD"/>
    <w:rsid w:val="009633A4"/>
    <w:rsid w:val="00985748"/>
    <w:rsid w:val="009E31EF"/>
    <w:rsid w:val="00A0164E"/>
    <w:rsid w:val="00A41ECE"/>
    <w:rsid w:val="00B1697B"/>
    <w:rsid w:val="00BB080C"/>
    <w:rsid w:val="00C1674A"/>
    <w:rsid w:val="00D645FD"/>
    <w:rsid w:val="00E133CF"/>
    <w:rsid w:val="00EB6868"/>
    <w:rsid w:val="15DD3409"/>
    <w:rsid w:val="27E90D65"/>
    <w:rsid w:val="28927317"/>
    <w:rsid w:val="33D0673D"/>
    <w:rsid w:val="465A0621"/>
    <w:rsid w:val="4A1F49D5"/>
    <w:rsid w:val="4EA4560E"/>
    <w:rsid w:val="62277716"/>
    <w:rsid w:val="6AAE73A9"/>
    <w:rsid w:val="6B7403BC"/>
    <w:rsid w:val="6DD55409"/>
    <w:rsid w:val="7720515F"/>
    <w:rsid w:val="78A61DBC"/>
    <w:rsid w:val="79CF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2</TotalTime>
  <ScaleCrop>false</ScaleCrop>
  <LinksUpToDate>false</LinksUpToDate>
  <CharactersWithSpaces>1433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2023-03-30T06:27:00Z</dcterms:created>
  <dc:creator>未定义</dc:creator>
  <cp:lastModifiedBy>苏锋相(海通)</cp:lastModifiedBy>
  <cp:lastPrinted>2024-03-12T01:07:00Z</cp:lastPrinted>
  <dcterms:modified xsi:type="dcterms:W3CDTF">2025-04-16T00:53:50Z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A4AEC8B441844D358FDF3B42876F1869</vt:lpwstr>
  </property>
</Properties>
</file>